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3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География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15.02.08 Технология машиностроения №350 от 18 апреля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технологии машиностроения.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ТМС.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ТМС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Яшин А.В.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ПРОФЕССИОНАЛЬНОГО МОДУЛЯ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РЕЗУЛЬТАТЫ ОСВОЕНИЯ ПРОФЕССИОНАЛЬНОГО МОДУЛЯ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СТРУКТУРА И СОДЕРЖАНИЕ ПРОФЕССИОНАЛЬНОГО МОДУЛЯ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4. УСЛОВИЯ РЕАЛИЗАЦИИ ПРОФЕССИОНАЛЬНОГО МОДУЛЯ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5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5. КОНТРОЛЬ И ОЦЕНКА РЕЗУЛЬТАТОВ ОСВОЕНИЯ 
            <w:br/>
            ПРОФЕССИОНАЛЬНОГО МОДУЛЯ 
          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ПРОФЕССИОНАЛЬНОГО МОДУЛЯ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География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примерной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Примерная программа учебной дисциплины является частью программы подготовки специалистов среднего звена в соответствии с ФГОС по специальности 15.02.08 Технология машиностроения в части освоения основного вида профессиональной деятельности (ВПД): </w:t>
      </w: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Цели и задачи профессионального модуля – требования к результатам освоения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иметь практический опыт: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Рекомендуемое количество часов на освоение программы профессионального модуля: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- 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-  часов, включая: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учебной и производственной практики - 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РЕЗУЛЬТАТЫ ОСВОЕНИЯ ПРОФЕССИОНАЛЬНОГО МОДУЛЯ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15.02.08 Технология машиностроения, в том числе профессиональными (ПК) и общими (ОК) компетенциями: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000" w:type="dxa"/>
        <w:gridCol w:w="10000" w:type="dxa"/>
      </w:tblGrid>
      <w:tblPr>
        <w:tblStyle w:val="myTable"/>
      </w:tblPr>
      <w:tr>
        <w:trPr>
          <w:trHeight w:val="100" w:hRule="atLeast"/>
        </w:trPr>
        <w:tc>
          <w:tcPr>
            <w:tcW w:w="2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Код</w:t>
            </w:r>
          </w:p>
        </w:tc>
        <w:tc>
          <w:tcPr>
            <w:tcW w:w="10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Наименование результата обучения</w:t>
            </w:r>
          </w:p>
        </w:tc>
      </w:tr>
    </w:tbl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3. СТРУКТУРА И СОДЕРЖАНИЕ ПРОФЕССИОНАЛЬНОГО МОДУЛЯ</w:t>
      </w:r>
      <w:bookmarkEnd w:id="3"/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Тематический план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 w:w="1000" w:type="dxa"/>
        <w:gridCol w:w="1000" w:type="dxa"/>
        <w:gridCol w:w="1000" w:type="dxa"/>
        <w:gridCol w:w="1500" w:type="dxa"/>
        <w:gridCol w:w="1500" w:type="dxa"/>
        <w:gridCol/>
        <w:gridCol/>
      </w:tblGrid>
      <w:tblPr>
        <w:tblStyle w:val="myTable"/>
      </w:tblPr>
      <w:tr>
        <w:trPr/>
        <w:tc>
          <w:tcPr>
            <w:tcW w:w="1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Коды профессиональных компетенций</w:t>
            </w:r>
          </w:p>
        </w:tc>
        <w:tc>
          <w:tcPr>
            <w:tcW w:w="3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Наименования разделов 
                <w:br/>
                профессионального модуля
              </w:t>
            </w:r>
          </w:p>
        </w:tc>
        <w:tc>
          <w:tcPr>
            <w:tcW w:w="1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 часов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i/>
                <w:iCs/>
              </w:rPr>
              <w:t xml:space="preserve">(макс. учебная нагрузка и практики)</w:t>
            </w:r>
          </w:p>
        </w:tc>
        <w:tc>
          <w:tcPr>
            <w:tcW w:w="6000" w:type="dxa"/>
            <w:vAlign w:val="center"/>
            <w:gridSpan w:val="5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Объем времени, отведенный на освоение 
                <w:br/>
                междисциплинарного курса (курсов)
              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Практика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3000" w:type="dxa"/>
            <w:vAlign w:val="center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Обязательная аудиторная учебная нагрузка обучающегося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Самостоятельная работа обучающегося</w:t>
            </w:r>
          </w:p>
        </w:tc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Учебная, часов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Производственная (по профилю специальности), часов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лабораторные работы и практические занятия,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Содержание обучения по профессиональному модулю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11000" w:type="dxa"/>
        <w:gridCol w:w="1500" w:type="dxa"/>
        <w:gridCol w:w="15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sectPr>
          <w:headerReference w:type="default" r:id="rId10"/>
          <w:pgSz w:orient="landscape" w:w="16787" w:h="11870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4" w:name="_Toc4"/>
      <w:r>
        <w:t>4. УСЛОВИЯ РЕАЛИЗАЦИИ ПРОФЕССИОНАЛЬНОГО МОДУЛЯ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4.1. Требования к минимальному материально–техническому обеспечению</w:t>
      </w:r>
    </w:p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интернет–ресурсов,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4.3. Общие требования к организации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4.4. Кадровое обеспечение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r>
        <w:br w:type="page"/>
      </w:r>
    </w:p>
    <w:p>
      <w:pPr>
        <w:pStyle w:val="Heading1"/>
      </w:pPr>
      <w:bookmarkStart w:id="5" w:name="_Toc5"/>
      <w:r>
        <w:t>
          5. КОНТРОЛЬ И ОЦЕНКА РЕЗУЛЬТАТОВ ОСВОЕНИЯ 
          <w:br/>
          ПРОФЕССИОНАЛЬНОГО МОДУЛЯ 
        </w:t>
      </w:r>
      <w:bookmarkEnd w:id="5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профессиональные компетенции)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показатели оценки результата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1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Relationship Id="rId10" Type="http://schemas.openxmlformats.org/officeDocument/2006/relationships/header" Target="header10.xml"/><Relationship Id="rId1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2024-03-29T05:02:15+03:00</dcterms:created>
  <dcterms:modified xsi:type="dcterms:W3CDTF">2024-03-29T05:02:15+03:00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