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юридической конфликтологии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Попова В.В.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юридической конфликтологии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«Основы юридической конфликтологии» относится к циклу общепрофессиональных дисциплин (ОП.16). Изучение данной дисциплины  базируется на знаниях обществознания, основы социологии и политологии, конституционного права, теории государства и права. На дисциплине «Основы юридической конфликтологии» базируется изучение профессионального модулей «Организационное обеспечение деятельности учреждений социальной защиты населения и органов Пенсионного фонда Российской Федерации» и «Обеспечение реализации прав граждан в сфере пенсионного обеспечения и социальной защиты».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освоения учебной дисциплины является: формирование у студентов базовых знаний о сущности и специфике конфликта как социального противоборства	
          <w:br/>
          Задачами учебной дисциплины являются: 	
          <w:br/>
          - формирование у студентов знаний и навыков работы в области основ юридической конфликтологии;	
          <w:br/>
          -  отработка навыка диагностирования юридического конфликта, выявление его причин, условий, стадий развития, определение субъектов и объекта юридического конфликта, анализа мотивационной и поведенческой стороны юридического конфликта; 	
          <w:br/>
          -  ознакомление студентов с проблемами практического применения альтернативных способов разрешения юридических конфликтов, о динамике, видах, структуре юридического конфликта.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извлекать юридическую природу из социального конфликта (ПК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юридические процедуры  в целях управления конфликтами (ПК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разрешать конфликты юридическими средствами (ОК 3, ОК 12, ОК 11, ПК 16);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юридический конфликт в различных сферах конфликтных отношений (ОК 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проблемы юридического конфликта (ОК 3, ОК 12, 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предмет (т.е. правовые и/или не правовые отношения) юридического конфликта (ПК 16);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специфику различных видов юридического конфликта (ОК 2, 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механизмов развития юридического конфликта (ОК 12, 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юридические средства предотвращения и разрешения конфликтов (ОК 11, ПК 12).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36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Общая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 конфликтов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становления конфликтологии. Понятие и предмет конфликтологии. Сущность конфликта и его структура. Классификация конфликтов. Конфликтные ситуации. Причины конфликтов. Динамика конфликтов. Понятие юридического конфликта.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становления конфликтологии. Понятие и предмет конфликтологии. Сущность конфликта и его структура. Классификация конфликтов. Конфликтные ситуации. Причины конфликтов. Динамика конфликтов. Понятие юридического конфликта.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методов, используемых в рамках юридическо-конфликтологических исследований.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Стадии конфликтов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Динамика юридического конфликта.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Динамика юридического конфликта.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Социально-психологические технологии предупреждения и разрешения конфликтов.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Виды конфликтов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Типология юридического конфликта. Модели конфликтов в юридической сфере. Конфликты в сфере политики. Конфликты в нормативно-правовой сфере. Межнациональные конфликты.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Типология юридического конфликта. Модели конфликтов в юридической сфере. Конфликты в сфере политики. Конфликты в нормативно-правовой сфере. Межнациональные конфликты.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Бизнес-конфликты и их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Основные виды юридических конфликтов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конфликты: понятие и виды. Способы и средства разрешения трудовых конфликтов. Семейные  конфликты. Способы разрешения семейных конфликтов. Гражданско-правовой (имущественный) конфликт. Уголовно-правовой конфликт.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конфликты: понятие и виды. Способы и средства разрешения трудовых конфликтов. Семейные  конфликты. Способы разрешения семейных конфликтов. Гражданско-правовой (имущественный) конфликт. Уголовно-правовой конфликт.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Отграничение юридического конфликта от юридического противоречия, юридической коллизии, юридического спора, правонарушения.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Внесудебные способы разрешения конфликтов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Внесудебные способы разрешения юридических конфликтов.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Внесудебные способы разрешения юридических конфликтов.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Медиация: история возникновения, основные принципы и методы. Стадии медиации.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видеопроектор SANYO PLC-XU355 (переносной), DVD-плеер Pioneer DV310 (переносной), экран DRAPPER Apex STAR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Конфликтология : учебное пособие / Б.С. Волков, Н.В. Волков под ред. — Москва : КноРус— 360 с. . https://www.book.ru/book/917091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Сараева Ф.К. Конфликтология : учеб. - метод. пособие. Ижевск: Jus  est , 2014.  60  с.. http://elibrary.udsu.ru/xmlui/bitstream/handle/123456789/11809/2014111.pdf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Анцупов А.Я., Шипилов А.И. Конфликтология: Учебник для вузов.  —  М.: ЮНИТИ,  2000.  -  551  с.  . http://sdo.mgaps.ru/books/KP1/M11/file/1.pdf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Конфликтология : учебное пособие / Б.С. Волков, под ред., Н.В. Волкова. — Москва : КноРус, 2018. — 355 с.. https://www.book.ru/book/930743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Система «Гарант», правовые базы российского законодательства: [Электронный ресурс]. URL: www.garant.ru -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Общероссийская сеть распространения правовой информации /Консультант-плюс: [Электронный ресурс]. URL: www.consultant.ru -)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Право в области информационных технологий: [Электронный ресурс]. URL: www.pravo.ru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Сервер &amp;#x2015;Российской газеты: [Электронный ресурс]. URL: www.rg.ru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извлекать юридическую природу из социального конфликта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юридические процедуры  в целях управления конфликтами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разрешать конфликты юридическими средствами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юридический конфликт в различных сферах конфликтных отношений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проблемы юридического конфликта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(т.е. правовые и/или не правовые отношения) юридического конфликта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специфику различных видов юридического конфликта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механизмов развития юридического конфликта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юридические средства предотвращения и разрешения конфликтов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F35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37483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E5E70855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A17377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0A8A703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97BD393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5812425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2024-03-29T01:49:00+03:00</dcterms:created>
  <dcterms:modified xsi:type="dcterms:W3CDTF">2024-03-29T01:49:00+03:00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