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государства и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 Попова Вера Владимировна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государства и права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«Теория государства и права» относится к общепрофессиональным дисциплинам (ОП.01.) профессионального цикла. Изучение дисциплины «Теория государства и права» базируется на знаниях истории, обществознания. На дисциплине «Теория государства и права» базируется изучение таких общепрофессиональных дисциплин как «Административное право», «Семейное право», «Гражданское право», «Право социального обеспечения».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учебной дисциплины «Теория государства  права» является формирование навыков и умений, необходимых и достаточных для: 	
          <w:br/>
          - осуществления поиска, анализа и оценки информации, необходимой для постановки и решения профессиональных задач, профессионального и личностного развития; 	
          <w:br/>
          - умения ориентироваться в условиях постоянного изменения правовой базы; 	
          <w:br/>
          - осуществления профессионального толкования нормативных и правовых актов для реализации прав граждан в сфере пенсионного обеспечения и социальной защиты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теоретические положения при изучении специальных юридических дисциплин  (ПК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теоретические положения при изучении специальных юридических дисциплин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на практике нормы различных отраслей права  (ОК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- закономерности возникновения и функционирования государства и права  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правового государства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типы современных правовых систем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понятие, типы и формы государства и права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роль государства в политической системе общества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виды правонарушений и юридической ответственности  (ОК 4,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систему права Российской Федерации и ее элементы  (ОК 4,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211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139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72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государства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Общие вопросы государства и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теории государства и права. Задачи теории государства и права. Функции теории государства и права. Место и роль теории государства и права в системе гуманитарных наук. Теория государства и права и прикладные юридические науки.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 теории государства и права. Теория государства и права и другие юридические науки. Факторы и условия возникновения государства. Основные формы возникновения государства по.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Политико-юридический характер государства и права. Основные категории теории государства и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Общие вопросы государства и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Методология теории государства и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Методология теории государства и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Теория государства.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Закономерности и предпосылки возникновения государства. Формы и способы возникновения государства. Формы и способы возникновения государства. Теории происхождения государства. Основные подходы к определению понятия государства. Признаки государства. Государство как организация публичной политической суверенной власти. Понятие типа государства. Формационный и цивилизационный подход к типологии государств.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способы возникновения государства. Теории происхождения государства. Понятие и признаки государства. Формационный и цивилизационный подход к типологии государств. Форма государства:  понятие и элементы. Понятие механизма государства. Структура механизма государства. Система и виды государственных органов. Понятие и структура политической системы общества.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Взаимодействие теории государства и права с гуманитарными науками. Теория государства и права и другие юридические науки. Факторы и условия возникновения государства. Основные формы возникновения государства по.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Теория государства.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элементы формы государства. Форма правления. Форма территориального устройства. Политический режим. Понятие механизма государства. Структура механизма государства. Понятие и признаки государственных органов. Понятие и структура политической системы общества. Место и роль государства в политической системе общества.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методы осуществления функций государства. Понятие государственности. Условия и факторы государственности.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Теория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Конституционный статус судебной власти в России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судебной власти. Ее место в системе разделения властей Российской Федерации. Правовой статус судей в Российской Федерации. Суд как орган судебной власти: виды и компетенция судов. Судебная система Российской Федерации.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судебной власти. Ее место в системе разделения властей Российской Федерации. Понятие судебной власти. Ее место в системе разделения властей Российской Федерации. Судебная система Российской Федерации. Судебная система Российской Федерации.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Федеральные суды. Суды субъектов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Основы 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 и сущность права. Соотношение права и морали. Понятие, принципы и виды правотворчества. Стадии законотворчества в РФ. Понятие системы права. Принципы построения системы права. Характеристика отраслей российского права. Кодификация и систематизация нормативно-правовых актов. Понятие действия и реализации права. Формы реализации права. Применение правовой нормы. Понятие толкования права. Основные способы толкования права. Юридические коллизии. Понятие, структура и функции правосознания. Деформации правосознания граждан. Понятие, содержание и цели правового воспитания граждан. Механизм, формы и средства правового воспитания граждан. Правовое регулирование и правовое воздействие. Понятие механизма правового регулирования. Понятие, признаки и виды правонарушений по российскому законодательству. Состав правонарушения как фактическое основание юридической ответственности. Юридическая ответственность: понятие, признаки, принципы. Виды юридической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 и сущность права. Соотношение права и морали. Понятие, признаки и сущность права. Соотношение права и морали. Система права. Система права. Законотворческий процесс. Законотворческий процесс. Понятие толкования права. Основные способы толкования права. Понятие толкования права. Основные способы толкования права. Понятие, признаки и виды правонарушений по российскому законодательству. Понятие, признаки и виды правонарушений по российскому законодательству. Состав правонарушения как фактическое основание юридической ответственности. Состав правонарушения как фактическое основание юридической ответственности. Юридическая ответственность: понятие и виды.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Соотношение права и морали. Деформации правосознания граждан. Эффективность механизма правового регулирования. Право и закон. Понятие законности. Обеспечение законности. Законность и правопорядок.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видеопроектор SANYO PLC-XU355 (переносной), DVD-плеер Pioneer DV310 (переносной), экран DRAPPER Apex STAR.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государства и права : учебно-методическое пособие / А.В. Петров, А.М. Баскакова. — Москва : Русайнс— 309 с. - [Электронный ресурс]. . https://www.book.ru/book/920716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государства и права : учебное пособие / Е.И. Темнов под ред. — Москва : КноРус, 2013. . Режим доступа: https://www.book.ru/book/914336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Темнов Е.И. Теория государства и права. – М.: КноРус, [Электронный ресурс]. . Режим доступа: http://book.ru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применять теоретические положения при изучении специальных юридических дисциплин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применять теоретические положения при изучении специальных юридических дисциплин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на практике нормы различных отраслей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закономерности возникновения и функционирования государства и права 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основы правового государства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основные типы современных правовых систем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понятие, типы и формы государства и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роль государства в политической системе общества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виды правонарушений и юридической ответственности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систему права Российской Федерации и ее элементы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4F9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AF80167A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F2375D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A22789D9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76E7043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FE07371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E0DD21F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2024-03-29T02:23:01+03:00</dcterms:created>
  <dcterms:modified xsi:type="dcterms:W3CDTF">2024-03-29T02:23:01+03:00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