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цикла, использование функциональных и технологических стандартов;
– сбор детальной информации для формализации предметной области проекта и требований пользователей заказчика;
– участие в техническом и рабочем проектировании компонентов информационных 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