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Конструирование и расчет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совершенствование практических навыков, необходимых при расчете и конструировании узлов  металлообрабатывающего оборудования.
Задачи изучения дисциплины - овладение методологией выбора оптимальных конструктивных решений типовых механизмов в результате анализа и оценки альтернативных вариантов на базе технико-экономических показателей с активным привлечением современных средств вычислительной техники на разных стадиях курсового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 несущей системы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-методики расчета основных технико-экономических показателей проектных решений(ПК-11);
- методы моделирования, расчета систем оборудования машиностроительных производств(ПК-11)
- рекомендации по размещению технологического оборудования и оснащению рабочих мест(ПК-11).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обосновывать проектные расчеты технико-экономических показателей(ПК-11);
- выполнять работы  в области научно-технической  деятельности по проектированию(ПК-11);
- оснащать рабочие места и осваивать вводимое оборудование(ПК-11).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расчета технико-экономических показателей(ПК-11
- современными методами прочностных расчетов оборудования с  применением вычислительной техники и программных пакетов(ПК-11);
- навыками практического использования справочной, нормативной, патентной и научно-технической литературы в процессе разработки, конструирования и расчета  технологического оборудования(ПК-11);
- навыками размещения технологического оборудования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