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- формирование правового сознания и гражданской правовой культуры.
Задачи:
- усвоение  основных понятий права;
- выработка умения понимать нормы права, оценивать юридически значимые обстоятельства и квалифицировать юридические факты;
- выработка навыка использования правовых знаний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нормативные правовые акты (ОК-4).
- виды ресурсов и ограничений для решения профессиональных задач; действующее законодательство и  правовые нормы, регулирующие  профессиональную деятельность (ОК-4; ОК-7)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альтернативные варианты решений для достижения намеченных результатов (ОК-7) 
- ориентироваться в системе законодательства и нормативных правовых актов (ОК-4); 
- использовать правовые нормы в профессиональной и общественной деятельности (ОК-4); 
- применять на практике полученные знания (ОК-4); 
- профессионально анализировать явления и процессы государственно-правового характера (ОК-4); 
- выражать и аргументировать личную позицию (ОК-4).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потребности в ресурсах, продолжительности и стоимости проекта
- навыками толкования и реализации норм, составления правовых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