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техническое обслуживание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дать студентам комплекс знаний по эксплуатации и техническому обслуживанию металлорежущих станков.
Задачами изучения дисциплины являются: 
- изучить правила эксплуатации и технического обслуживания станков; 
- ознакомиться с направлениями повышения надежности станков;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обслуживание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планово-предупредительного ремонта.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классификацию МРС (ПК-11);
- конструкции типовых механизмов станка(муфты, реверсирующие и суммирующие механизмы и т.д.(ПК-11);
- основы наладки и настойки станков основных групп(ПК-12);
- способы восстановления и ремонта деталей и узлов станков (ПК-13);
- основные направления по повышению производительности станка(ПК-15).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 настройки универсального станка при известных параметрах режимов обработки(ПК-11);
- осуществлять выбор станка универсального и с ЧПУ(многоцелевого)для обработки конкретной детали(ПК-12);
- производить проверку геометрической и кинематической точности станка, жесткости станка(ПК-13);
- организовать профилактический осмотр и текущий ремонт станка(ПК-13);
- применять прогрессивные методы эксплуатации оборудования(ПК-15).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