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компьютерного конструирования деталей и узлов машин общего назначения.
Задачи дисциплины: 
- ознакомление с современными методами и средствами автоматизации конструкторской документации;
- ознакомление с современными средствами инженерного анализа деталей машин общего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принципы компьютерного расчета и конструирования в системе КОМПАС. Разработка и оформление конструкторской документации в соответствии с требованиями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зубчатых и червячных передач. Разработка и оформление чертежей деталей зубчатых и червячных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цепных передач. Разработка и оформление чертежей деталей цепных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ременных передач. Разработка и оформление чертежей деталей ременных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конструирование валов и подшипниковых узлов качения.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Конструирование соединений и корпусных деталей.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прикладные компьютерные программы и электронные таблицы для выполнения поверочных расчетов, Выполнять твердотельное моделирование металлорежущих   лезвийных   инструментов   с использованием CAD-систем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   рабочие    чертежи    металлорежущих   лезвийных   инструментов    в соответствии с ЕСКД и локальными нормативными актами, принятыми в организации. Использовать    CAD-системы   для   выполнения   чертежей   металлорежущих   лезвийных   инструментов.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