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Материалы и компоненты устройств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закономерностях формирования структуры материалов, о материалах, применяемых в устройствах связи, об основных технологических процессах изготовления деталей, и применении стандартных пакетов автоматизированного проектирования деталей и конструкций приборов.
Основными задачами изучения дисциплины является получение представлений о роли материалов и компонентов в современных инфокоммуникационных устройствах и рациональном использовании материалов; получение навыков, позволяющих проводить обоснованный выбор материалов деталей и конструкций приборов; овладение навыками выбора и проектирования современных технологических процессов изготовления деталей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устройств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Компоненты устройств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материаловедения,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контроля параметров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материал детали, обоснованно применять в  устройствах соответствующие компоненты, разрабатывать технологический процесс изготовления детали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стандартные пакеты автоматизированного проектирования для анализа деталей и конструкций устройствах связи на предмет используемых материалов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