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технических средств приема, преобразования, обработки, хранения информации и выработки управляющих воздействий в системах автоматизации и управления.
Задачей дисциплины является изучение основных информационно-управляющих систем, правила оформления структурных и функциональных схем автоматизации, графической документации.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приема, обработки информации в АСУ.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составление структурных и функциональных схем технических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автоматизации и управления инфокоммуникационным оборудованием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структурные схемы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исполнительными устройствами и регулирующими органами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проектировать и внедрять функциональные, структурные схемы для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техническими процессами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