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4.xml" ContentType="application/vnd.openxmlformats-officedocument.wordprocessingml.header+xml"/>
  <Override PartName="/word/header7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Министерство науки и высшего образования Российской Федерации</w:t>
      </w:r>
    </w:p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  <w:b/>
        </w:rPr>
        <w:t xml:space="preserve">Муромский институт (филиал)</w:t>
      </w: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федерального государственного бюджетного образовательного учреждения высшего образования</w:t>
      </w:r>
    </w:p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  <w:b/>
        </w:rPr>
        <w:t xml:space="preserve">«Владимирский государственный университет</w:t>
      </w:r>
    </w:p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  <w:b/>
        </w:rPr>
        <w:t xml:space="preserve">имени Александра Григорьевича и Николая Григорьевича Столетовых»</w:t>
      </w: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(МИ ВлГУ)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Отделение среднего профессионального образования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right"/>
      </w:pPr>
      <w:r>
        <w:pict>
          <v:shape type="#_x0000_t75" style="width:282px; height:91px; margin-left:0px; margin-top:0px; mso-position-horizontal:left; mso-position-vertical:top; mso-position-horizontal-relative:char; mso-position-vertical-relative:line; z-index:-9223372036854775807;">
            <v:imagedata r:id="rId7" o:title=""/>
          </v:shape>
        </w:pict>
      </w:r>
    </w:p>
    <w:p>
      <w:pPr>
        <w:jc w:val="right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  <w:i/>
          <w:iCs/>
          <w:u w:val="single"/>
        </w:rPr>
        <w:t xml:space="preserve">   __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eastAsia="Times New Roman" w:cs="Times New Roman"/>
          <w:sz w:val="24"/>
          <w:szCs w:val="24"/>
          <w:i/>
          <w:iCs/>
          <w:u w:val="single"/>
        </w:rPr>
        <w:t xml:space="preserve">      __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____ г.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  <w:b/>
          <w:caps/>
        </w:rPr>
        <w:t xml:space="preserve">Рабочая программа дисциплины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Документационное обеспечение управления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для специальности 38.02.01 Экономика и бухгалтерский учет (по отраслям)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Муром, 2022 г.</w:t>
      </w:r>
    </w:p>
    <w:p>
      <w:pPr>
        <w:sectPr>
          <w:pgSz w:orient="portrait" w:w="11870" w:h="16787"/>
          <w:pgMar w:top="850" w:right="850" w:bottom="850" w:left="1700" w:header="720" w:footer="720" w:gutter="0"/>
          <w:cols w:num="1" w:space="720"/>
        </w:sect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Рабочая программа учебной дисциплины 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(далее - СПО) 38.02.01 Экономика и бухгалтерский учет (по отраслям) №69 от 05 февраля 2018 года.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Кафедра-разработчик: экономики.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Рабочую программу составил: ст. преподаватель Колесникова У.В.</w:t>
      </w:r>
    </w:p>
    <w:tbl>
      <w:tblGrid>
        <w:gridCol w:w="6000" w:type="dxa"/>
        <w:gridCol w:w="6000" w:type="dxa"/>
      </w:tblGrid>
      <w:tblPr>
        <w:jc w:val="left"/>
        <w:tblW w:w="0" w:type="auto"/>
      </w:tblPr>
      <w:tr>
        <w:trPr>
          <w:trHeight w:val="100" w:hRule="atLeast"/>
        </w:trPr>
        <w:tc>
          <w:tcPr>
            <w:tcW w:w="6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</w:t>
            </w:r>
          </w:p>
        </w:tc>
        <w:tc>
          <w:tcPr>
            <w:tcW w:w="60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«_______» ______________ _____ г.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       (подпись)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                              (дата)</w:t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Рабочая программа рассмотрена и одобрена на заседании кафедры ЭТиМК.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6000" w:type="dxa"/>
        <w:gridCol w:w="6000" w:type="dxa"/>
      </w:tblGrid>
      <w:tblPr>
        <w:jc w:val="left"/>
        <w:tblW w:w="0" w:type="auto"/>
      </w:tblPr>
      <w:tr>
        <w:trPr>
          <w:trHeight w:val="100" w:hRule="atLeast"/>
        </w:trPr>
        <w:tc>
          <w:tcPr>
            <w:tcW w:w="6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Протокол № ____</w:t>
            </w:r>
          </w:p>
        </w:tc>
        <w:tc>
          <w:tcPr>
            <w:tcW w:w="60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 «_______» ______________ _____ г.</w:t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6000" w:type="dxa"/>
        <w:gridCol w:w="4000" w:type="dxa"/>
      </w:tblGrid>
      <w:tblPr>
        <w:jc w:val="left"/>
        <w:tblW w:w="0" w:type="auto"/>
      </w:tblPr>
      <w:tr>
        <w:trPr>
          <w:trHeight w:val="100" w:hRule="atLeast"/>
        </w:trPr>
        <w:tc>
          <w:tcPr>
            <w:tcW w:w="6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Заведующий кафедрой ЭТиМК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Панягина А.Е.</w:t>
            </w:r>
          </w:p>
        </w:tc>
        <w:tc>
          <w:tcPr>
            <w:tcW w:w="4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___________  </w:t>
            </w:r>
          </w:p>
        </w:tc>
      </w:tr>
      <w:tr>
        <w:trPr>
          <w:trHeight w:val="100" w:hRule="atLeast"/>
        </w:trPr>
        <w:tc>
          <w:tcPr>
            <w:tcW w:w="" w:type="dxa"/>
          </w:tcPr>
          <w:p/>
        </w:tc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        (подпись)</w:t>
            </w:r>
          </w:p>
        </w:tc>
      </w:tr>
    </w:tbl>
    <w:p>
      <w:r>
        <w:br w:type="page"/>
      </w:r>
    </w:p>
    <w:p>
      <w:pPr>
        <w:sectPr>
          <w:headerReference w:type="default" r:id="rId8"/>
          <w:pgSz w:orient="portrait" w:w="11870" w:h="16787"/>
          <w:pgMar w:top="850" w:right="850" w:bottom="850" w:left="1700" w:header="720" w:footer="720" w:gutter="0"/>
          <w:cols w:num="1" w:space="720"/>
        </w:sect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СОДЕРЖАНИЕ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tabs>
          <w:tab w:val="right" w:leader="none" w:pos="9062"/>
        </w:tabs>
      </w:pPr>
      <w:r>
        <w:fldChar w:fldCharType="begin"/>
      </w:r>
      <w:r>
        <w:instrText xml:space="preserve">TOC \o 1-9 \h \z \u</w:instrText>
      </w:r>
      <w:r>
        <w:fldChar w:fldCharType="separate"/>
      </w:r>
      <w:hyperlink w:anchor="_Toc1" w:history="1">
        <w:r>
          <w:rPr>
            <w:rFonts w:ascii="Times New Roman" w:hAnsi="Times New Roman" w:eastAsia="Times New Roman" w:cs="Times New Roman"/>
            <w:sz w:val="24"/>
            <w:szCs w:val="24"/>
          </w:rPr>
          <w:t>1. ПАСПОРТ РАБОЧЕЙ ПРОГРАММЫ УЧЕБНОЙ ДИСЦИПЛИНЫ </w:t>
        </w:r>
        <w:r>
          <w:tab/>
        </w:r>
        <w:r>
          <w:fldChar w:fldCharType="begin"/>
        </w:r>
        <w:r>
          <w:instrText xml:space="preserve">PAGEREF _Toc1 \h</w:instrText>
        </w:r>
        <w:r>
          <w:fldChar w:fldCharType="end"/>
        </w:r>
      </w:hyperlink>
    </w:p>
    <w:p>
      <w:pPr>
        <w:tabs>
          <w:tab w:val="right" w:leader="none" w:pos="9062"/>
        </w:tabs>
      </w:pPr>
      <w:hyperlink w:anchor="_Toc2" w:history="1">
        <w:r>
          <w:rPr>
            <w:rFonts w:ascii="Times New Roman" w:hAnsi="Times New Roman" w:eastAsia="Times New Roman" w:cs="Times New Roman"/>
            <w:sz w:val="24"/>
            <w:szCs w:val="24"/>
          </w:rPr>
          <w:t>2. СТРУКТУРА И СОДЕРЖАНИЕ УЧЕБНОЙ ДИСЦИПЛИНЫ </w:t>
        </w:r>
        <w:r>
          <w:tab/>
        </w:r>
        <w:r>
          <w:fldChar w:fldCharType="begin"/>
        </w:r>
        <w:r>
          <w:instrText xml:space="preserve">PAGEREF _Toc2 \h</w:instrText>
        </w:r>
        <w:r>
          <w:fldChar w:fldCharType="end"/>
        </w:r>
      </w:hyperlink>
    </w:p>
    <w:p>
      <w:pPr>
        <w:tabs>
          <w:tab w:val="right" w:leader="none" w:pos="9062"/>
        </w:tabs>
      </w:pPr>
      <w:hyperlink w:anchor="_Toc3" w:history="1">
        <w:r>
          <w:rPr>
            <w:rFonts w:ascii="Times New Roman" w:hAnsi="Times New Roman" w:eastAsia="Times New Roman" w:cs="Times New Roman"/>
            <w:sz w:val="24"/>
            <w:szCs w:val="24"/>
          </w:rPr>
          <w:t>3. УСЛОВИЯ РЕАЛИЗАЦИИ УЧЕБНОЙ ДИСЦИПЛИНЫ </w:t>
        </w:r>
        <w:r>
          <w:tab/>
        </w:r>
        <w:r>
          <w:fldChar w:fldCharType="begin"/>
        </w:r>
        <w:r>
          <w:instrText xml:space="preserve">PAGEREF _Toc3 \h</w:instrText>
        </w:r>
        <w:r>
          <w:fldChar w:fldCharType="end"/>
        </w:r>
      </w:hyperlink>
    </w:p>
    <w:p>
      <w:pPr>
        <w:tabs>
          <w:tab w:val="right" w:leader="none" w:pos="9062"/>
        </w:tabs>
      </w:pPr>
      <w:hyperlink w:anchor="_Toc4" w:history="1">
        <w:r>
          <w:rPr>
            <w:rFonts w:ascii="Times New Roman" w:hAnsi="Times New Roman" w:eastAsia="Times New Roman" w:cs="Times New Roman"/>
            <w:sz w:val="24"/>
            <w:szCs w:val="24"/>
          </w:rPr>
          <w:t>
            4. КОНТРОЛЬ И ОЦЕНКА РЕЗУЛЬТАТОВ ОСВОЕНИЯ 
            <w:br/>
            УЧЕБНОЙ ДИСЦИПЛИНЫ 
          </w:t>
        </w:r>
        <w:r>
          <w:tab/>
        </w:r>
        <w:r>
          <w:fldChar w:fldCharType="begin"/>
        </w:r>
        <w:r>
          <w:instrText xml:space="preserve">PAGEREF _Toc4 \h</w:instrText>
        </w:r>
        <w:r>
          <w:fldChar w:fldCharType="end"/>
        </w:r>
      </w:hyperlink>
    </w:p>
    <w:p>
      <w:r>
        <w:fldChar w:fldCharType="end"/>
      </w:r>
    </w:p>
    <w:p>
      <w:r>
        <w:br w:type="page"/>
      </w:r>
    </w:p>
    <w:p>
      <w:pPr>
        <w:pStyle w:val="Heading1"/>
      </w:pPr>
      <w:bookmarkStart w:id="1" w:name="_Toc1"/>
      <w:r>
        <w:t>1. ПАСПОРТ РАБОЧЕЙ ПРОГРАММЫ УЧЕБНОЙ ДИСЦИПЛИНЫ </w:t>
      </w:r>
      <w:bookmarkEnd w:id="1"/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Документационное обеспечение управления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1.1. Область применения рабочей программы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38.02.01 Экономика и бухгалтерский учет (по отраслям).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Рабочая программа учебной дисциплины может быть использована в дополнительном профессиональном образовании, для получения дополнительных компетенций, умений и знаний, необходимых для обеспечения конкурентоспособности выпускника на рынке труда и продолжения образования по специальности.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1.2. Место учебной дисциплины в структуре программы подготовки специалистов среднего звена: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
          Учебная дисциплина ОП.06 Документационное обеспечение управления относится к общепрофессиональным дисциплинам профессионального учебного цикла.
          <w:br/>
          Дисциплина  находится в тесном взаимодействии с дисциплиной «Информатика».
          <w:br/>
          На дисциплине «Документационное обеспечение управления» базируется изучение профессиональных модулей, в частности «Проведение расчетов с бюджетом и внебюджетными фондами».
        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1.3. Цели и задачи учебной дисциплины - требования к результатам освоения учебной дисциплины: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Цель дисциплины: Изучение основных видов официальных документов, создаваемых в процессе принятия и реализации управленческих решений и требований к их составлению и оформлению. Рассмотрение вопросов приема, обработки, регистрации, контроля, хранения документов, составления номенклатуры дел, использования телекоммуникационных технологий в организации и ведении делопроизводства на предприятии.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результате освоения учебной дисциплины обучающийся должен уметь: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грамотно излагать свои мысли и оформлять документы по профессиональной тематике на государственном языке (ОК 05);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писать простые связные сообщения на знакомые или интересующие профессиональные темы (ОК 10);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оформлять документацию в соответствии с нормативной базой, в том числе с использованием информационных технологий; использовать унифицированные формы документов (ПК 13, ПК 27, ПК 32, ПК 34);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осваивать технологии автоматизированной обработки документации; осуществлять хранение и поиск документов; использовать телекоммуникационные технологии в электронном документообороте (ПК 11, ПК 32, ПК 34).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результате освоения учебной дисциплины обучающийся должен знать: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правила оформления документов и построения устных сообщений (ОК 05);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лексический минимум, относящийся к описанию предметов, средств и процессов профессиональной деятельности (ОК 10);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понятие, цели, задачи и принципы делопроизводства; основные понятия документационного обеспечения управления; системы документационного обеспечения управления; классификацию документов (ОК 10);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требования к составлению и оформлению документов (ПК 13, ПК 27, ПК 32, ПК 34);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организацию документооборота; основы приема, обработки, регистрации, контроля, хранения документов, номенклатуру дел  (ПК 11, ПК 32, ПК 34).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результате освоения дисциплины обучающийся должен владеть следующими общими (ОК) и профессиональными (ПК) компетенциями: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ОК 10. Пользоваться профессиональной документацией на государственном и иностранном языках;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ПК 11. Обрабатывать первичные бухгалтерские документы;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ПК 13. Проводить учет денежных средств, оформлять денежные и кассовые документы;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ПК 27.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ПК 32.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ПК 34.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1.4. Количество часов на освоение программы учебной дисциплины: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Максимальной учебной нагрузки обучающегося 42 часа, в том числе: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обязательной аудиторной нагрузки обучающегося 38 часов;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самостоятельной нагрузки обучающегося 4 часа.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r>
        <w:br w:type="page"/>
      </w:r>
    </w:p>
    <w:p>
      <w:pPr>
        <w:pStyle w:val="Heading1"/>
      </w:pPr>
      <w:bookmarkStart w:id="2" w:name="_Toc2"/>
      <w:r>
        <w:t>2. СТРУКТУРА И СОДЕРЖАНИЕ УЧЕБНОЙ ДИСЦИПЛИНЫ </w:t>
      </w:r>
      <w:bookmarkEnd w:id="2"/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2.1. Объем учебной дисциплины и виды учебной работы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6000" w:type="dxa"/>
        <w:gridCol w:w="6000" w:type="dxa"/>
      </w:tblGrid>
      <w:tblPr>
        <w:tblStyle w:val="myTable"/>
      </w:tblPr>
      <w:tr>
        <w:trPr>
          <w:trHeight w:val="100" w:hRule="atLeast"/>
        </w:trPr>
        <w:tc>
          <w:tcPr>
            <w:tcW w:w="6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Вид учебной работы</w:t>
            </w:r>
          </w:p>
        </w:tc>
        <w:tc>
          <w:tcPr>
            <w:tcW w:w="6000" w:type="dxa"/>
            <w:gridSpan w:val="1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Объем часов</w:t>
            </w:r>
          </w:p>
        </w:tc>
      </w:tr>
      <w:tr>
        <w:trPr/>
        <w:tc>
          <w:tcPr>
            <w:tcW w:w="" w:type="dxa"/>
          </w:tcPr>
          <w:p/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 семестр</w:t>
            </w:r>
          </w:p>
        </w:tc>
      </w:tr>
      <w:tr>
        <w:trPr>
          <w:trHeight w:val="100" w:hRule="atLeast"/>
        </w:trPr>
        <w:tc>
          <w:tcPr>
            <w:tcW w:w="6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Максимальная учебная нагрузка (всего)</w:t>
            </w:r>
          </w:p>
        </w:tc>
        <w:tc>
          <w:tcPr>
            <w:tcW w:w="6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42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Обязательная аудиторная учебная нагрузка (всего)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38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числе:</w:t>
            </w:r>
          </w:p>
        </w:tc>
        <w:tc>
          <w:tcPr>
            <w:tcW w:w="" w:type="dxa"/>
          </w:tcPr>
          <w:p/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лекционные занятия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практические занятия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лабораторные работы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контрольные работы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курсовая работа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Самостоятельная работа обучающегося (всего)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Итоговая аттестация в форме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Рейтинговая оценка</w:t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2.2. Тематический план и содержание учебной дисциплины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2500" w:type="dxa"/>
        <w:gridCol w:w="7500" w:type="dxa"/>
        <w:gridCol w:w="1000" w:type="dxa"/>
        <w:gridCol w:w="1000" w:type="dxa"/>
      </w:tblGrid>
      <w:tblPr>
        <w:tblStyle w:val="myTable"/>
      </w:tblPr>
      <w:tr>
        <w:trPr/>
        <w:tc>
          <w:tcPr>
            <w:tcW w:w="25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разделов и тем</w:t>
            </w:r>
          </w:p>
        </w:tc>
        <w:tc>
          <w:tcPr>
            <w:tcW w:w="75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Объем часов 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Уровень освоения</w:t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/>
              <w:t xml:space="preserve">1 семестр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Раздел 1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Документирование управленческой деятельности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1.1 Введение. Документ и система документации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Значение и содержание дисциплины "Документационное обеспечение управления". Понятие терминов "документ", "документирование", "документационное обеспечение управления". Унификация и стандартизация управленческих документов.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Самостоятельная работа обучающихся.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Современная регламентация документационного обеспечения управления.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1.2 Организационно-распорядительные документы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Организационные документы - устав, учредительный договор, положение. Распорядительные документы - приказ, распоряжение, указание, постановление, решение, инструкция, протокол. Справочные-информационные документы: служебная записка, объяснительная записка, акт, справка, служебные письма.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Лабораторные работы.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Составление организационных и распорядительных документов. Составление информационно-справочных документов.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1.3 Кадровая документация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Документирование трудовых отношений. Состав и особенности оформления документов по личному составу. Комплектование личного дела. Автобиография, резюме. Заявление о приеме на работу. Приказы по личному составу.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Самостоятельная работа обучающихся.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Требования законодательства Российской Федерации к оформлению трудового договора, приказов по личному составу и трудовой книжки.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1.4 Финансовая и бухгалтерская документация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Финансовая и бухгалтерская документация. Состав. Требования к оформлению в соответствии с законодательством РФ. Первичные учетные документы. Регистры бухгалтерского учета. Обязательный состав реквизитов первичных учетных документов. Оформление счет-фактуры, платежного поручения, акта о приемке-передаче товарно-материальных ценностей на хранение, приходного кассового ордера.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Лабораторные работы.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Составление финансовой и бухгалтерской документации.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Самостоятельная работа обучающихся.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Бухгалтерская обработка документов.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1.5 Договорно-правовая документация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Понятие договора. Виды договоров. Правила оформления претензионных писем. Формуляр искового заявления, требования к его оформлению.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Раздел 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Организация работы с документами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2.1 Понятие документооборота, регистрация документов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Состав и учет объема документооборота предприятий. Организация работы с входящей, исходящей и внутренней документацией. Базы данных для хранения документов. Работа с запросами. Работа с электронными документами.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Самостоятельная работа обучающихся.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Контроль исполнения документов.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2.2 Организация оперативного и архивного хранения документов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Номенклатура дел. Индивидуальные, сводные, примерные и типовые номенклатуры дел. Подготовка и порядок передачи дел в архив. Законодательные акты и нормативно-методические документы по архивному хранению документов.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Лабораторные работы.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Формирование, хранение и уничтожение дел.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Всего: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</w:t>
      </w:r>
    </w:p>
    <w:p>
      <w:pPr>
        <w:numPr>
          <w:ilvl w:val="0"/>
          <w:numId w:val="8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ознакомительный (узнавание новых объектов, свойств);</w:t>
      </w:r>
    </w:p>
    <w:p>
      <w:pPr>
        <w:numPr>
          <w:ilvl w:val="0"/>
          <w:numId w:val="8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репродуктивный (выполнение деятельности по образцу, инструкции или под руководством);</w:t>
      </w:r>
    </w:p>
    <w:p>
      <w:pPr>
        <w:numPr>
          <w:ilvl w:val="0"/>
          <w:numId w:val="8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продуктивный (планирование и самостоятельное выполнение деятельности, решение проблемных задач).</w:t>
      </w:r>
    </w:p>
    <w:p>
      <w:r>
        <w:br w:type="page"/>
      </w:r>
    </w:p>
    <w:p>
      <w:pPr>
        <w:pStyle w:val="Heading1"/>
      </w:pPr>
      <w:bookmarkStart w:id="3" w:name="_Toc3"/>
      <w:r>
        <w:t>3. УСЛОВИЯ РЕАЛИЗАЦИИ УЧЕБНОЙ ДИСЦИПЛИНЫ </w:t>
      </w:r>
      <w:bookmarkEnd w:id="3"/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3.1. Требования к минимальному материально – техническому обеспечению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Кабинет документационного  обеспечения управления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Комплект учебно-методических пособий </w:t>
      </w:r>
    </w:p>
    <w:p/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3.2. Информационное обеспечение обучения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Перечень рекомендуемых учебных изданий, интернет – ресурсов, дополнительной литературы.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Основные источники: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Документационное обеспечение управления. Составление и оформление деловых документов : учебное пособие для СПО / составители Е. И. Башмакова. — Саратов, Москва : Профобразование, Ай Пи Ар Медиа, 2021. — 144 c. . https://www.iprbookshop.ru/103343.html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Кузнецова, И. В. Документационное обеспечение управления : учебное пособие для СПО / И. В. Кузнецова, Г. А. Хачатрян. — 2-е изд. — Саратов : Профобразование, Ай Пи Эр Медиа, 2019. — 166 c.. http://www.iprbookshop.ru/80326.html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Арасланова, В. А. Документационное обеспечение управления : учебно-практическое пособие в схемах, таблицах, образцах / В. А. Арасланова. — 3-е изд. — Сургут : Сургутский государственный педагогический университет, 2019. — 240 c.. http://www.iprbookshop.ru/94291.html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Дополнительные источники:</w:t>
      </w:r>
    </w:p>
    <w:p>
      <w:pPr>
        <w:numPr>
          <w:ilvl w:val="0"/>
          <w:numId w:val="10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Рябова, С. В. Документационное обеспечение управленческой деятельности : учебное пособие / С. В. Рябова. — Ульяновск : Ульяновский государственный технический университет, 2021. — 341 c.. https://www.iprbookshop.ru/121268.html</w:t>
      </w:r>
    </w:p>
    <w:p>
      <w:pPr>
        <w:numPr>
          <w:ilvl w:val="0"/>
          <w:numId w:val="10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Галиева, Н. В. Документационное обеспечение управления : учебник / Н. В. Галиева, Ж. К. Галиев. — Москва : Издательский Дом МИСиС, 2021. — 188 c.. https://www.iprbookshop.ru/116986.html</w:t>
      </w:r>
    </w:p>
    <w:p>
      <w:pPr>
        <w:numPr>
          <w:ilvl w:val="0"/>
          <w:numId w:val="10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Алексеева, Т. В. Документационное обеспечение управления : учебник / Т. В. Алексеева, О. А. Страхов. — Москва : Университет «Синергия», 2020. — 132 c.. https://www.iprbookshop.ru/101344.html</w:t>
      </w:r>
    </w:p>
    <w:p>
      <w:pPr>
        <w:numPr>
          <w:ilvl w:val="0"/>
          <w:numId w:val="10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Симонян, Р. Я. Документационное обеспечение системы управления организацией : учебное пособие / Р. Я. Симонян. — Саратов : Ай Пи Эр Медиа, 2018. — 180 c.. http://www.iprbookshop.ru/72458.html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Интернет-ресурсы:</w:t>
      </w:r>
    </w:p>
    <w:p>
      <w:pPr>
        <w:numPr>
          <w:ilvl w:val="0"/>
          <w:numId w:val="11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СПС «Консультант Плюс», URL: http://www.consultant.ru/</w:t>
      </w:r>
    </w:p>
    <w:p>
      <w:pPr>
        <w:numPr>
          <w:ilvl w:val="0"/>
          <w:numId w:val="11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Электронная библиотечная система «IPRbooks», URL: http://www.iprbookshop.ru</w:t>
      </w:r>
    </w:p>
    <w:p>
      <w:r>
        <w:br w:type="page"/>
      </w:r>
    </w:p>
    <w:p>
      <w:pPr>
        <w:pStyle w:val="Heading1"/>
      </w:pPr>
      <w:bookmarkStart w:id="4" w:name="_Toc4"/>
      <w:r>
        <w:t>
          4. КОНТРОЛЬ И ОЦЕНКА РЕЗУЛЬТАТОВ ОСВОЕНИЯ 
          <w:br/>
          УЧЕБНОЙ ДИСЦИПЛИНЫ 
        </w:t>
      </w:r>
      <w:bookmarkEnd w:id="4"/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7500" w:type="dxa"/>
        <w:gridCol w:w="5000" w:type="dxa"/>
      </w:tblGrid>
      <w:tblPr>
        <w:tblStyle w:val="myTable"/>
      </w:tblPr>
      <w:tr>
        <w:trPr/>
        <w:tc>
          <w:tcPr>
            <w:tcW w:w="75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Результаты обучения (освоенные умения, усвоенные знания)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Формы и методы контроля и оценки результатов обучения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грамотно излагать свои мысли и оформлять документы по профессиональной тематике на государственном языке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Тестирование, выполнение практических заданий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темы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Тестирование, выполнение практических заданий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оформлять документацию в соответствии с нормативной базой, в том числе с использованием информационных технологий; использовать унифицированные формы документов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Тестирование, выполнение практических заданий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осваивать технологии автоматизированной обработки документации; осуществлять хранение и поиск документов; использовать телекоммуникационные технологии в электронном документообороте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Тестирование, выполнение практических заданий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правила оформления документов и построения устных сообщений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Устный опрос, тестирование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Устный опрос, тестирование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понятие, цели, задачи и принципы делопроизводства; основные понятия документационного обеспечения управления; системы документационного обеспечения управления; классификацию документов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Устный опрос, тестирование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требования к составлению и оформлению документов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Устный опрос, тестирование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организацию документооборота; основы приема, обработки, регистрации, контроля, хранения документов, номенклатуру дел 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Устный опрос, тестирование</w:t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sectPr>
      <w:headerReference w:type="default" r:id="rId9"/>
      <w:pgSz w:orient="portrait" w:w="11870" w:h="16787"/>
      <w:pgMar w:top="850" w:right="850" w:bottom="850" w:left="170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rPr>
        <w:rFonts w:ascii="Times New Roman" w:hAnsi="Times New Roman" w:eastAsia="Times New Roman" w:cs="Times New Roman"/>
        <w:sz w:val="24"/>
        <w:szCs w:val="24"/>
      </w:rPr>
      <w:instrText xml:space="preserve">PAGE</w:instrText>
    </w:r>
    <w:r>
      <w:fldChar w:fldCharType="separate"/>
    </w:r>
    <w: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rPr>
        <w:rFonts w:ascii="Times New Roman" w:hAnsi="Times New Roman" w:eastAsia="Times New Roman" w:cs="Times New Roman"/>
        <w:sz w:val="24"/>
        <w:szCs w:val="24"/>
      </w:rPr>
      <w:instrText xml:space="preserve">PAGE</w:instrText>
    </w:r>
    <w:r>
      <w:fldChar w:fldCharType="separate"/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nsid w:val="CA0C4D2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ED35C3CC"/>
    <w:multiLevelType w:val="hybridMultilevel"/>
    <w:lvl w:ilvl="0">
      <w:start w:val="1"/>
      <w:numFmt w:val="decimal"/>
      <w:suff w:val="tab"/>
      <w:lvlText w:val="–"/>
      <w:lvlJc w:val="left"/>
      <w:pPr>
        <w:tabs>
          <w:tab w:val="num" w:pos="720"/>
        </w:tabs>
        <w:ind w:left="965" w:hanging="240"/>
      </w:pPr>
      <w:rPr>
        <w:rFonts w:ascii="" w:hAnsi="" w:cs="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1C78EC0"/>
    <w:multiLevelType w:val="hybridMultilevel"/>
    <w:lvl w:ilvl="0">
      <w:start w:val="1"/>
      <w:numFmt w:val="decimal"/>
      <w:suff w:val="tab"/>
      <w:lvlText w:val=""/>
      <w:lvlJc w:val="left"/>
      <w:pPr>
        <w:tabs>
          <w:tab w:val="num" w:pos="720"/>
        </w:tabs>
        <w:ind w:left="720" w:hanging="360"/>
      </w:pPr>
      <w:rPr>
        <w:rFonts w:ascii="" w:hAnsi="" w:cs="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9D184647"/>
    <w:multiLevelType w:val="multilevel"/>
    <w:lvl w:ilvl="0">
      <w:start w:val="1"/>
      <w:numFmt w:val="decimal"/>
      <w:suff w:val="tab"/>
      <w:lvlText w:val="%1. -"/>
      <w:pPr>
        <w:tabs>
          <w:tab w:val="num" w:pos="720"/>
        </w:tabs>
        <w:ind w:left="1080" w:hanging="360"/>
      </w:pPr>
      <w:rPr>
        <w:rFonts/>
      </w:rPr>
    </w:lvl>
  </w:abstractNum>
  <w:abstractNum w:abstractNumId="9">
    <w:nsid w:val="A81CF577"/>
    <w:multiLevelType w:val="multilevel"/>
    <w:lvl w:ilvl="0">
      <w:start w:val="1"/>
      <w:numFmt w:val="decimal"/>
      <w:suff w:val="tab"/>
      <w:lvlText w:val="%1."/>
      <w:pPr>
        <w:tabs>
          <w:tab w:val="num" w:pos="720"/>
        </w:tabs>
        <w:ind w:left="1080" w:hanging="360"/>
      </w:pPr>
      <w:rPr>
        <w:rFonts/>
      </w:rPr>
    </w:lvl>
  </w:abstractNum>
  <w:abstractNum w:abstractNumId="10">
    <w:nsid w:val="37E469CC"/>
    <w:multiLevelType w:val="multilevel"/>
    <w:lvl w:ilvl="0">
      <w:start w:val="1"/>
      <w:numFmt w:val="decimal"/>
      <w:suff w:val="tab"/>
      <w:lvlText w:val="%1."/>
      <w:pPr>
        <w:tabs>
          <w:tab w:val="num" w:pos="720"/>
        </w:tabs>
        <w:ind w:left="1080" w:hanging="360"/>
      </w:pPr>
      <w:rPr>
        <w:rFonts/>
      </w:rPr>
    </w:lvl>
  </w:abstractNum>
  <w:abstractNum w:abstractNumId="11">
    <w:nsid w:val="4944CD90"/>
    <w:multiLevelType w:val="multilevel"/>
    <w:lvl w:ilvl="0">
      <w:start w:val="1"/>
      <w:numFmt w:val="decimal"/>
      <w:suff w:val="tab"/>
      <w:lvlText w:val="%1."/>
      <w:pPr>
        <w:tabs>
          <w:tab w:val="num" w:pos="720"/>
        </w:tabs>
        <w:ind w:left="1080" w:hanging="360"/>
      </w:pPr>
      <w:rPr>
        <w:rFonts/>
      </w:rPr>
    </w:lvl>
  </w:abstract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</w:rPr>
    </w:rPrDefault>
  </w:docDefaults>
  <w:style w:type="paragraph" w:default="1" w:styleId="Normal">
    <w:name w:val="Normal"/>
    <w:pPr>
      <w:spacing w:before="0"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myTable">
    <w:name w:val="myTable"/>
    <w:uiPriority w:val="99"/>
    <w:tblPr>
      <w:tblW w:w="0" w:type="auto"/>
      <w:tblCellMar>
        <w:top w:w="20" w:type="dxa"/>
        <w:left w:w="100" w:type="dxa"/>
        <w:right w:w="100" w:type="dxa"/>
      </w:tblCellMar>
      <w:tblBorders>
        <w:top w:val="single" w:sz="6" w:color="000000"/>
        <w:left w:val="single" w:sz="6" w:color="000000"/>
        <w:right w:val="single" w:sz="6" w:color="000000"/>
        <w:bottom w:val="single" w:sz="6" w:color="000000"/>
        <w:insideH w:val="single" w:sz="6" w:color="000000"/>
        <w:insideV w:val="single" w:sz="6" w:color="000000"/>
      </w:tblBorders>
    </w:tblPr>
  </w:style>
  <w:style w:type="table" w:customStyle="1" w:styleId="myTableNoBorders">
    <w:name w:val="myTableNoBorders"/>
    <w:uiPriority w:val="99"/>
    <w:tblPr>
      <w:tblW w:w="0" w:type="auto"/>
      <w:tblCellMar>
        <w:top w:w="20" w:type="dxa"/>
        <w:left w:w="100" w:type="dxa"/>
        <w:right w:w="100" w:type="dxa"/>
      </w:tblCellMar>
    </w:tblPr>
  </w:style>
  <w:style w:type="paragraph" w:styleId="Heading1">
    <w:link w:val="Heading1Char"/>
    <w:name w:val="heading 1"/>
    <w:basedOn w:val="Normal"/>
    <w:pPr>
      <w:jc w:val="center"/>
    </w:pPr>
    <w:rPr>
      <w:rFonts w:ascii="Times New Roman" w:hAnsi="Times New Roman" w:eastAsia="Times New Roman" w:cs="Times New Roman"/>
      <w:sz w:val="24"/>
      <w:szCs w:val="24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header" Target="header4.xml"/><Relationship Id="rId9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2024-08-24T22:33:03+03:00</dcterms:created>
  <dcterms:modified xsi:type="dcterms:W3CDTF">2024-08-24T22:33:03+03:00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